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autoSpaceDE w:val="false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Верующий-мирянин “никогда не может замыкаться в себе самом, духовно изолируясь от общины, но должен жить в постоянном взаимообмене с другими, в живом ощущении братства, в радости, исходящей от равного достоинства и с обязательством являть плоды того безмерного богатства, которое унаследовал каждый. Дух Господень дарует ему, как и остальным, разнообразные харизмы, приглашает его принять различные виды служений и поручений, напоминает ему, как Он напоминает всем людям в их отношениях в Церкви, что все то, что отличает его, </w:t>
      </w:r>
      <w:r>
        <w:rPr>
          <w:rFonts w:cs="Times New Roman" w:ascii="Times New Roman" w:hAnsi="Times New Roman"/>
          <w:b w:val="false"/>
          <w:bCs w:val="false"/>
          <w:i/>
          <w:iCs/>
          <w:sz w:val="28"/>
          <w:szCs w:val="28"/>
        </w:rPr>
        <w:t>не есть некое более высокое достоинство, но особая и дополнительная способность к служению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</w:t>
      </w:r>
    </w:p>
    <w:p>
      <w:pPr>
        <w:pStyle w:val="Normal"/>
        <w:autoSpaceDE w:val="false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Спасительная миссия Церкви в мире осуществляется не только священнослужителями в силу таинства Священства, но также всеми верующими-мирянами: действительно, в силу своего состояния крещеных и своего особого призвания — каждый в присущей ему мере, — они участвуют в священническом, пророческом и царственном служении Христа.</w:t>
      </w:r>
    </w:p>
    <w:p>
      <w:pPr>
        <w:pStyle w:val="Normal"/>
        <w:autoSpaceDE w:val="false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Прежде всего необходимо, чтобы каждый верующий-мирянин всегда обладал </w:t>
      </w:r>
      <w:r>
        <w:rPr>
          <w:i/>
          <w:iCs/>
          <w:sz w:val="28"/>
          <w:szCs w:val="28"/>
        </w:rPr>
        <w:t>живым осознанием того, что он является “членом Церкви”</w:t>
      </w:r>
      <w:r>
        <w:rPr>
          <w:sz w:val="28"/>
          <w:szCs w:val="28"/>
        </w:rPr>
        <w:t>, которому доверена уникальная задача, которую невозможно заменить и передоверить другим, задача, которую необходимо выполнить для блага всех людей...</w:t>
      </w:r>
    </w:p>
    <w:p>
      <w:pPr>
        <w:pStyle w:val="Normal"/>
        <w:autoSpaceDE w:val="false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“Апостольство, которым каждый обязан заниматься лично, изобильно проистекает из источника подлинно духовной жизни (</w:t>
      </w:r>
      <w:r>
        <w:rPr>
          <w:i/>
          <w:iCs/>
          <w:sz w:val="28"/>
          <w:szCs w:val="28"/>
        </w:rPr>
        <w:t>Ин</w:t>
      </w:r>
      <w:r>
        <w:rPr>
          <w:sz w:val="28"/>
          <w:szCs w:val="28"/>
        </w:rPr>
        <w:t xml:space="preserve"> 4, 14) и является началом и условием всякого апостольства мирян вообще, даже и совместного, и ничто не может его заменить. К такого рода апостольству, плодотворному всегда и везде, но в известных условиях единственно пригодному и возможному, призваны и обязаны все миряне, в любом положении, даже если у них нет случая или возможности сотрудничать в ассоциациях”</w:t>
      </w:r>
    </w:p>
    <w:p>
      <w:pPr>
        <w:pStyle w:val="Normal"/>
        <w:autoSpaceDE w:val="false"/>
        <w:spacing w:lineRule="auto" w:line="360"/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  <w:t>В личном апостольстве находятся огромные богатства, которые надлежит раскрыть, чтобы возрастала миссионерская энергия каждого верующего-мирянина. Такая форма апостольства может сделать распространение Евангелия необычайно широким, способным достичь стольких мест и сфер, сколько их существует в связи с каждодневной конкретной жизнью мирян. Боле того, речь идет о постоянном распространении Евангелия, поскольку оно связано с последовательным слиянием личной жизни с верой, как, впрочем, и об особенно убедительном его распространении, ибо полностью разделяя условия жизни, труд, тяготы и надежды своих братьев, верующие-миряне могут достичь сердец своих ближних или друзей, или коллег, раскрывая для них совершенные горизонты действительности, полный смысл человеческого существования, то есть общения с Богом и между людьми.</w:t>
      </w:r>
    </w:p>
    <w:p>
      <w:pPr>
        <w:pStyle w:val="Normal"/>
        <w:autoSpaceDE w:val="false"/>
        <w:spacing w:lineRule="auto" w:line="360"/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Привитые к лозе и животворимые ею, ветви призваны приносить плод: “Я есмь лоза, а вы ветви; </w:t>
      </w:r>
      <w:r>
        <w:rPr>
          <w:i/>
          <w:iCs/>
          <w:sz w:val="28"/>
          <w:szCs w:val="28"/>
        </w:rPr>
        <w:t>кто пребывает во Мне, и Я в нем, тот приносит много плода</w:t>
      </w:r>
      <w:r>
        <w:rPr>
          <w:sz w:val="28"/>
          <w:szCs w:val="28"/>
        </w:rPr>
        <w:t>” (</w:t>
      </w:r>
      <w:r>
        <w:rPr>
          <w:i/>
          <w:iCs/>
          <w:sz w:val="28"/>
          <w:szCs w:val="28"/>
        </w:rPr>
        <w:t>Ин</w:t>
      </w:r>
      <w:r>
        <w:rPr>
          <w:sz w:val="28"/>
          <w:szCs w:val="28"/>
        </w:rPr>
        <w:t xml:space="preserve"> 15, 5). Приносить плод — основное требование христианской и церковной жизни. Не приносящий плода не остается в общении: “Всякую у Меня ветвь, не приносящую плода, Он [Мой Отец] отсекает” (</w:t>
      </w:r>
      <w:r>
        <w:rPr>
          <w:i/>
          <w:iCs/>
          <w:sz w:val="28"/>
          <w:szCs w:val="28"/>
        </w:rPr>
        <w:t>Ин</w:t>
      </w:r>
      <w:r>
        <w:rPr>
          <w:sz w:val="28"/>
          <w:szCs w:val="28"/>
        </w:rPr>
        <w:t xml:space="preserve"> 15, 2).</w:t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Общение со Христом, из которого проистекает общение христиан между собой, является абсолютно необходимым условием принесения плода: “Ибо без Меня не можете делать ничего” (</w:t>
      </w:r>
      <w:r>
        <w:rPr>
          <w:rFonts w:cs="Times New Roman" w:ascii="Times New Roman" w:hAnsi="Times New Roman"/>
          <w:i/>
          <w:iCs/>
          <w:sz w:val="28"/>
          <w:szCs w:val="28"/>
        </w:rPr>
        <w:t>Ин</w:t>
      </w:r>
      <w:r>
        <w:rPr>
          <w:rFonts w:cs="Times New Roman" w:ascii="Times New Roman" w:hAnsi="Times New Roman"/>
          <w:sz w:val="28"/>
          <w:szCs w:val="28"/>
        </w:rPr>
        <w:t xml:space="preserve"> 15, 5). А общение с другими есть самый прекрасный плод, который могут дать ветви, воистину, — это дар Христа и Его Духа.</w:t>
      </w:r>
    </w:p>
    <w:p>
      <w:pPr>
        <w:pStyle w:val="Style25"/>
        <w:spacing w:lineRule="auto" w:line="360"/>
        <w:rPr/>
      </w:pPr>
      <w:r>
        <w:rPr>
          <w:rFonts w:cs="Times New Roman" w:ascii="Times New Roman" w:hAnsi="Times New Roman"/>
          <w:sz w:val="28"/>
          <w:szCs w:val="28"/>
        </w:rPr>
        <w:t xml:space="preserve">отрывок из творений святого Франциска Сальского, </w:t>
      </w:r>
      <w:r>
        <w:rPr>
          <w:rFonts w:cs="Times New Roman" w:ascii="Times New Roman" w:hAnsi="Times New Roman"/>
          <w:color w:val="000000"/>
          <w:sz w:val="28"/>
          <w:szCs w:val="28"/>
        </w:rPr>
        <w:t>столь сильно поощрявшего духовность мирян</w:t>
      </w:r>
      <w:r>
        <w:rPr>
          <w:rStyle w:val="Style15"/>
          <w:rStyle w:val="Style16"/>
          <w:rFonts w:cs="Times New Roman" w:ascii="Times New Roman" w:hAnsi="Times New Roman"/>
          <w:sz w:val="28"/>
          <w:szCs w:val="28"/>
        </w:rPr>
        <w:footnoteReference w:id="2"/>
      </w:r>
      <w:r>
        <w:rPr>
          <w:rFonts w:cs="Times New Roman" w:ascii="Times New Roman" w:hAnsi="Times New Roman"/>
          <w:color w:val="000000"/>
          <w:sz w:val="28"/>
          <w:szCs w:val="28"/>
        </w:rPr>
        <w:t>. Говоря о “благочестии”, т.е. о христианском совершенстве или “жизни согласно Духу”, он представляет в простой и проникновенной манере призвание всех христиан к святости, подчеркивая в то же время ту особую форму, в которой отдельные миряне его осуществляют: “При сотворении мира Бог повелел растениям приносить плоды, каждому “по роду своему” (</w:t>
      </w:r>
      <w:r>
        <w:rPr>
          <w:rFonts w:cs="Times New Roman" w:ascii="Times New Roman" w:hAnsi="Times New Roman"/>
          <w:i/>
          <w:iCs/>
          <w:color w:val="000000"/>
          <w:sz w:val="28"/>
          <w:szCs w:val="28"/>
        </w:rPr>
        <w:t>Быт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1, 11). То же повеление Он обращает к христианам, которые суть живые растения Его Церкви, для того, чтобы они производили плоды благочестия, каждый согласно своему состоянию и положению. Благочестие должно осуществляться различными путями благородным человеком, ремесленником, слугой, князем, вдовой, незамужней женщиной и замужней. Но этого не достаточно, необходимо также, чтобы практика благочестия была согласована с силами, занятиями и обязательствами каждой личности [...] Заблуждением против веры, даже ересью, является стремление изгнать практику благочестия из военного лагеря, из лавки ремесленника, со двора князя, из супружеского дома. Верно, Филотея, что для чисто созерцательного, монастырского и монашеского благочестия нет места в подобного рода укладах жизни, но помимо этих трех родов благочестия существует множество иных, способных привести к совершенству тех, кто живет в мирских условиях. Поэтому, где бы мы ни находились, мы можем и должны стремиться к совершенной жизни”</w:t>
      </w:r>
    </w:p>
    <w:p>
      <w:pPr>
        <w:pStyle w:val="Normal"/>
        <w:autoSpaceDE w:val="false"/>
        <w:spacing w:lineRule="auto" w:line="360"/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То, что было сказано о духовных призваниях, может быть сказано также — а в некотором смысле и с большим основанием — о бесконечном разнообразии способов, посредством которых все члены Церкви являются работниками, трудящимися в винограднике Господа, возводя мистическое Тело Христа. Действительно каждый в уникальности и неповторимости своей личной истории призван по имени внести свой собственный вклад ради пришествия Царства Божия. Никакой талант, даже самый маленький, не может быть сокрыт и оставлен без употребления (ср. </w:t>
      </w:r>
      <w:r>
        <w:rPr>
          <w:i/>
          <w:iCs/>
          <w:sz w:val="28"/>
          <w:szCs w:val="28"/>
        </w:rPr>
        <w:t>Мф</w:t>
      </w:r>
      <w:r>
        <w:rPr>
          <w:sz w:val="28"/>
          <w:szCs w:val="28"/>
        </w:rPr>
        <w:t xml:space="preserve"> 25, 24-27).</w:t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Апостол Петр предупреждает нас: “Служите друг другу, каждый тем даром, какой получил, как добрые домостроители многоразличной благодати Божией” (</w:t>
      </w:r>
      <w:r>
        <w:rPr>
          <w:rFonts w:cs="Times New Roman" w:ascii="Times New Roman" w:hAnsi="Times New Roman"/>
          <w:i/>
          <w:iCs/>
          <w:color w:val="000000"/>
          <w:sz w:val="28"/>
          <w:szCs w:val="28"/>
        </w:rPr>
        <w:t>1 Петр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4, 10).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color w:val="000000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color w:val="000000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Какие примеры святых мирян я знаю?</w:t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Что миряне могут делать в нашем приходе?</w:t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Как я могу участвовать в миссии Церкви?</w:t>
      </w:r>
    </w:p>
    <w:sectPr>
      <w:footnotePr>
        <w:numFmt w:val="decimal"/>
      </w:footnote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Peterburg">
    <w:altName w:val="Times New Roman"/>
    <w:charset w:val="00"/>
    <w:family w:val="auto"/>
    <w:pitch w:val="variable"/>
  </w:font>
  <w:font w:name="Times New Roman">
    <w:charset w:val="cc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Style24"/>
        <w:rPr/>
      </w:pPr>
      <w:r>
        <w:rPr>
          <w:rStyle w:val="Style15"/>
        </w:rPr>
        <w:footnoteRef/>
      </w:r>
      <w:r>
        <w:rPr>
          <w:lang w:val="en-US"/>
        </w:rPr>
        <w:tab/>
        <w:t xml:space="preserve"> </w:t>
      </w:r>
      <w:r>
        <w:rPr/>
        <w:t>Ср</w:t>
      </w:r>
      <w:r>
        <w:rPr>
          <w:lang w:val="en-US"/>
        </w:rPr>
        <w:t xml:space="preserve">. </w:t>
      </w:r>
      <w:r>
        <w:rPr>
          <w:smallCaps/>
        </w:rPr>
        <w:t>Павел</w:t>
      </w:r>
      <w:r>
        <w:rPr>
          <w:smallCaps/>
          <w:lang w:val="en-US"/>
        </w:rPr>
        <w:t xml:space="preserve"> VI</w:t>
      </w:r>
      <w:r>
        <w:rPr>
          <w:lang w:val="en-US"/>
        </w:rPr>
        <w:t xml:space="preserve">, </w:t>
      </w:r>
      <w:r>
        <w:rPr/>
        <w:t>Апостольское</w:t>
      </w:r>
      <w:r>
        <w:rPr>
          <w:lang w:val="en-US"/>
        </w:rPr>
        <w:t xml:space="preserve"> </w:t>
      </w:r>
      <w:r>
        <w:rPr/>
        <w:t>послание</w:t>
      </w:r>
      <w:r>
        <w:rPr>
          <w:lang w:val="en-US"/>
        </w:rPr>
        <w:t xml:space="preserve"> </w:t>
      </w:r>
      <w:r>
        <w:rPr>
          <w:i/>
          <w:iCs/>
          <w:lang w:val="en-US"/>
        </w:rPr>
        <w:t>Sabaudiae gemma</w:t>
      </w:r>
      <w:r>
        <w:rPr>
          <w:lang w:val="en-US"/>
        </w:rPr>
        <w:t xml:space="preserve"> (29 </w:t>
      </w:r>
      <w:r>
        <w:rPr/>
        <w:t>января</w:t>
      </w:r>
      <w:r>
        <w:rPr>
          <w:lang w:val="en-US"/>
        </w:rPr>
        <w:t xml:space="preserve"> 1967):</w:t>
      </w:r>
      <w:r>
        <w:rPr>
          <w:i/>
          <w:iCs/>
          <w:lang w:val="en-US"/>
        </w:rPr>
        <w:t xml:space="preserve"> ASS</w:t>
      </w:r>
      <w:r>
        <w:rPr>
          <w:lang w:val="en-US"/>
        </w:rPr>
        <w:t xml:space="preserve"> 59 (1967), 113-123.</w:t>
      </w:r>
    </w:p>
  </w:footnote>
</w:footnotes>
</file>

<file path=word/settings.xml><?xml version="1.0" encoding="utf-8"?>
<w:settings xmlns:w="http://schemas.openxmlformats.org/wordprocessingml/2006/main">
  <w:zoom w:percent="140"/>
  <w:defaultTabStop w:val="709"/>
  <w:footnotePr>
    <w:numFmt w:val="decimal"/>
    <w:footnote w:id="0"/>
    <w:footnote w:id="1"/>
  </w:footnotePr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BABEL Unicode"/>
        <w:kern w:val="2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DejaVu Sans" w:cs="BABEL Unicode"/>
      <w:color w:val="auto"/>
      <w:kern w:val="2"/>
      <w:sz w:val="24"/>
      <w:szCs w:val="24"/>
      <w:lang w:val="ru-RU" w:eastAsia="zh-CN" w:bidi="hi-IN"/>
    </w:rPr>
  </w:style>
  <w:style w:type="character" w:styleId="Style14">
    <w:name w:val="Основной шрифт абзаца"/>
    <w:qFormat/>
    <w:rPr/>
  </w:style>
  <w:style w:type="character" w:styleId="Style15">
    <w:name w:val="Символ сноски"/>
    <w:basedOn w:val="Style14"/>
    <w:qFormat/>
    <w:rPr>
      <w:vertAlign w:val="superscript"/>
    </w:rPr>
  </w:style>
  <w:style w:type="character" w:styleId="Style16">
    <w:name w:val="Привязка сноски"/>
    <w:rPr>
      <w:vertAlign w:val="superscript"/>
    </w:rPr>
  </w:style>
  <w:style w:type="character" w:styleId="Style17">
    <w:name w:val="Привязка концевой сноски"/>
    <w:rPr>
      <w:vertAlign w:val="superscript"/>
    </w:rPr>
  </w:style>
  <w:style w:type="character" w:styleId="Style18">
    <w:name w:val="Символ концевой сноски"/>
    <w:qFormat/>
    <w:rPr/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DejaVu Sans" w:cs="BABEL Unicode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BABEL Unicode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BABEL Unicode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BABEL Unicode"/>
    </w:rPr>
  </w:style>
  <w:style w:type="paragraph" w:styleId="Style24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styleId="Style25">
    <w:name w:val="Основной"/>
    <w:qFormat/>
    <w:pPr>
      <w:widowControl/>
      <w:autoSpaceDE w:val="false"/>
      <w:spacing w:lineRule="atLeast" w:line="320"/>
      <w:ind w:firstLine="556"/>
      <w:jc w:val="both"/>
    </w:pPr>
    <w:rPr>
      <w:rFonts w:ascii="Peterburg;Times New Roman" w:hAnsi="Peterburg;Times New Roman" w:eastAsia="Times New Roman" w:cs="Peterburg;Times New Roman"/>
      <w:color w:val="000000"/>
      <w:kern w:val="2"/>
      <w:sz w:val="22"/>
      <w:szCs w:val="22"/>
      <w:lang w:val="ru-RU" w:bidi="ar-SA" w:eastAsia="zh-C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2049</TotalTime>
  <Application>LibreOffice/6.0.7.3$Linux_X86_64 LibreOffice_project/00m0$Build-3</Application>
  <Pages>3</Pages>
  <Words>769</Words>
  <Characters>4747</Characters>
  <CharactersWithSpaces>5515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2019-06-12T08:37:04Z</dcterms:created>
  <dc:creator/>
  <dc:description/>
  <dc:language>ru-RU</dc:language>
  <cp:lastModifiedBy/>
  <cp:lastPrinted>2019-06-12T09:53:53Z</cp:lastPrinted>
  <dcterms:modified xsi:type="dcterms:W3CDTF">2019-06-13T20:13:40Z</dcterms:modified>
  <cp:revision>1</cp:revision>
  <dc:subject/>
  <dc:title/>
</cp:coreProperties>
</file>